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50C02" w14:textId="35FD9627" w:rsidR="00314590" w:rsidRPr="009A01F2" w:rsidRDefault="005B6F90" w:rsidP="009A01F2">
      <w:pPr>
        <w:spacing w:after="240" w:line="240" w:lineRule="auto"/>
        <w:rPr>
          <w:rFonts w:ascii="Arial" w:hAnsi="Arial" w:cs="Arial"/>
          <w:b/>
          <w:sz w:val="20"/>
          <w:szCs w:val="20"/>
        </w:rPr>
      </w:pPr>
      <w:r w:rsidRPr="009A01F2">
        <w:rPr>
          <w:rFonts w:ascii="Arial" w:hAnsi="Arial" w:cs="Arial"/>
          <w:b/>
          <w:bCs/>
          <w:sz w:val="20"/>
          <w:szCs w:val="20"/>
          <w:lang w:val="ru"/>
        </w:rPr>
        <w:t>Примерный перечень товаров-маркеров для NSCA*</w:t>
      </w:r>
    </w:p>
    <w:tbl>
      <w:tblPr>
        <w:tblStyle w:val="TableGrid"/>
        <w:tblW w:w="9752" w:type="dxa"/>
        <w:tblLayout w:type="fixed"/>
        <w:tblLook w:val="04A0" w:firstRow="1" w:lastRow="0" w:firstColumn="1" w:lastColumn="0" w:noHBand="0" w:noVBand="1"/>
      </w:tblPr>
      <w:tblGrid>
        <w:gridCol w:w="1991"/>
        <w:gridCol w:w="2879"/>
        <w:gridCol w:w="2326"/>
        <w:gridCol w:w="2556"/>
      </w:tblGrid>
      <w:tr w:rsidR="00314590" w:rsidRPr="009A01F2" w14:paraId="397E8E23" w14:textId="77777777" w:rsidTr="009A01F2">
        <w:tc>
          <w:tcPr>
            <w:tcW w:w="1991" w:type="dxa"/>
          </w:tcPr>
          <w:p w14:paraId="5E8A6425"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b/>
                <w:bCs/>
                <w:sz w:val="20"/>
                <w:szCs w:val="20"/>
                <w:lang w:val="ru"/>
              </w:rPr>
              <w:t>№ п/п</w:t>
            </w:r>
          </w:p>
        </w:tc>
        <w:tc>
          <w:tcPr>
            <w:tcW w:w="2879" w:type="dxa"/>
            <w:vAlign w:val="bottom"/>
          </w:tcPr>
          <w:p w14:paraId="7E30BADA"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b/>
                <w:bCs/>
                <w:sz w:val="20"/>
                <w:szCs w:val="20"/>
                <w:lang w:val="ru"/>
              </w:rPr>
              <w:t>Наименование продукта</w:t>
            </w:r>
          </w:p>
        </w:tc>
        <w:tc>
          <w:tcPr>
            <w:tcW w:w="2326" w:type="dxa"/>
            <w:vAlign w:val="bottom"/>
          </w:tcPr>
          <w:p w14:paraId="2E7D2E1D"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b/>
                <w:bCs/>
                <w:sz w:val="20"/>
                <w:szCs w:val="20"/>
                <w:lang w:val="ru"/>
              </w:rPr>
              <w:t>Дозировка продукта</w:t>
            </w:r>
          </w:p>
        </w:tc>
        <w:tc>
          <w:tcPr>
            <w:tcW w:w="2556" w:type="dxa"/>
            <w:vAlign w:val="bottom"/>
          </w:tcPr>
          <w:p w14:paraId="135EDE30"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b/>
                <w:bCs/>
                <w:sz w:val="20"/>
                <w:szCs w:val="20"/>
                <w:lang w:val="ru"/>
              </w:rPr>
              <w:t xml:space="preserve">Категория продукта </w:t>
            </w:r>
          </w:p>
        </w:tc>
      </w:tr>
      <w:tr w:rsidR="00314590" w:rsidRPr="009A01F2" w14:paraId="03BFA49E" w14:textId="77777777" w:rsidTr="009A01F2">
        <w:tc>
          <w:tcPr>
            <w:tcW w:w="1991" w:type="dxa"/>
          </w:tcPr>
          <w:p w14:paraId="471F9F1E"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1</w:t>
            </w:r>
          </w:p>
        </w:tc>
        <w:tc>
          <w:tcPr>
            <w:tcW w:w="2879" w:type="dxa"/>
            <w:vAlign w:val="bottom"/>
          </w:tcPr>
          <w:p w14:paraId="232829E7"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Амоксициллин в капсулах</w:t>
            </w:r>
          </w:p>
        </w:tc>
        <w:tc>
          <w:tcPr>
            <w:tcW w:w="2326" w:type="dxa"/>
            <w:vAlign w:val="bottom"/>
          </w:tcPr>
          <w:p w14:paraId="56DC3AE3"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250 мг</w:t>
            </w:r>
          </w:p>
        </w:tc>
        <w:tc>
          <w:tcPr>
            <w:tcW w:w="2556" w:type="dxa"/>
            <w:vAlign w:val="bottom"/>
          </w:tcPr>
          <w:p w14:paraId="59CC0A9A"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Основное лекарственное средство</w:t>
            </w:r>
          </w:p>
        </w:tc>
      </w:tr>
      <w:tr w:rsidR="00314590" w:rsidRPr="009A01F2" w14:paraId="65F65613" w14:textId="77777777" w:rsidTr="009A01F2">
        <w:tc>
          <w:tcPr>
            <w:tcW w:w="1991" w:type="dxa"/>
          </w:tcPr>
          <w:p w14:paraId="6A1AFFBD"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2</w:t>
            </w:r>
          </w:p>
        </w:tc>
        <w:tc>
          <w:tcPr>
            <w:tcW w:w="2879" w:type="dxa"/>
            <w:vAlign w:val="bottom"/>
          </w:tcPr>
          <w:p w14:paraId="28D1D44C"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Артеметер/Люмефантрин 6x1**</w:t>
            </w:r>
          </w:p>
        </w:tc>
        <w:tc>
          <w:tcPr>
            <w:tcW w:w="2326" w:type="dxa"/>
            <w:vAlign w:val="bottom"/>
          </w:tcPr>
          <w:p w14:paraId="14CA2AE6"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20/120 мг</w:t>
            </w:r>
          </w:p>
        </w:tc>
        <w:tc>
          <w:tcPr>
            <w:tcW w:w="2556" w:type="dxa"/>
            <w:vAlign w:val="bottom"/>
          </w:tcPr>
          <w:p w14:paraId="2ADC7161"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Противомалярийный препарат</w:t>
            </w:r>
          </w:p>
        </w:tc>
      </w:tr>
      <w:tr w:rsidR="00314590" w:rsidRPr="009A01F2" w14:paraId="5BCBB6FC" w14:textId="77777777" w:rsidTr="009A01F2">
        <w:tc>
          <w:tcPr>
            <w:tcW w:w="1991" w:type="dxa"/>
          </w:tcPr>
          <w:p w14:paraId="36510DD1"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b/>
                <w:bCs/>
                <w:sz w:val="20"/>
                <w:szCs w:val="20"/>
                <w:lang w:val="ru"/>
              </w:rPr>
              <w:t>3</w:t>
            </w:r>
          </w:p>
        </w:tc>
        <w:tc>
          <w:tcPr>
            <w:tcW w:w="2879" w:type="dxa"/>
            <w:vAlign w:val="center"/>
          </w:tcPr>
          <w:p w14:paraId="5E8BC884"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Быстрый диагностический тест на малярию</w:t>
            </w:r>
          </w:p>
        </w:tc>
        <w:tc>
          <w:tcPr>
            <w:tcW w:w="2326" w:type="dxa"/>
            <w:vAlign w:val="center"/>
          </w:tcPr>
          <w:p w14:paraId="339855A2"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Тест</w:t>
            </w:r>
          </w:p>
        </w:tc>
        <w:tc>
          <w:tcPr>
            <w:tcW w:w="2556" w:type="dxa"/>
            <w:vAlign w:val="bottom"/>
          </w:tcPr>
          <w:p w14:paraId="7619EDFB"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Диагностический набор</w:t>
            </w:r>
          </w:p>
        </w:tc>
      </w:tr>
      <w:tr w:rsidR="00314590" w:rsidRPr="009A01F2" w14:paraId="57017147" w14:textId="77777777" w:rsidTr="009A01F2">
        <w:tc>
          <w:tcPr>
            <w:tcW w:w="1991" w:type="dxa"/>
          </w:tcPr>
          <w:p w14:paraId="3137C4AE"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b/>
                <w:bCs/>
                <w:sz w:val="20"/>
                <w:szCs w:val="20"/>
                <w:lang w:val="ru"/>
              </w:rPr>
              <w:t>4</w:t>
            </w:r>
          </w:p>
        </w:tc>
        <w:tc>
          <w:tcPr>
            <w:tcW w:w="2879" w:type="dxa"/>
            <w:vAlign w:val="center"/>
          </w:tcPr>
          <w:p w14:paraId="4381069A"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Ко-тримоксазол</w:t>
            </w:r>
          </w:p>
        </w:tc>
        <w:tc>
          <w:tcPr>
            <w:tcW w:w="2326" w:type="dxa"/>
            <w:vAlign w:val="center"/>
          </w:tcPr>
          <w:p w14:paraId="47E70F0C"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960 мг</w:t>
            </w:r>
          </w:p>
        </w:tc>
        <w:tc>
          <w:tcPr>
            <w:tcW w:w="2556" w:type="dxa"/>
            <w:vAlign w:val="bottom"/>
          </w:tcPr>
          <w:p w14:paraId="063915AE"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Лекарства от оппортунистической инфекции</w:t>
            </w:r>
          </w:p>
        </w:tc>
      </w:tr>
      <w:tr w:rsidR="00314590" w:rsidRPr="009A01F2" w14:paraId="3CD610DC" w14:textId="77777777" w:rsidTr="009A01F2">
        <w:tc>
          <w:tcPr>
            <w:tcW w:w="1991" w:type="dxa"/>
          </w:tcPr>
          <w:p w14:paraId="6D638C0E"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b/>
                <w:bCs/>
                <w:sz w:val="20"/>
                <w:szCs w:val="20"/>
                <w:lang w:val="ru"/>
              </w:rPr>
              <w:t>5</w:t>
            </w:r>
          </w:p>
        </w:tc>
        <w:tc>
          <w:tcPr>
            <w:tcW w:w="2879" w:type="dxa"/>
            <w:vAlign w:val="bottom"/>
          </w:tcPr>
          <w:p w14:paraId="1F00D812"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Депо-Провера</w:t>
            </w:r>
          </w:p>
        </w:tc>
        <w:tc>
          <w:tcPr>
            <w:tcW w:w="2326" w:type="dxa"/>
            <w:vAlign w:val="bottom"/>
          </w:tcPr>
          <w:p w14:paraId="7E6DDC10"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Инъекции</w:t>
            </w:r>
          </w:p>
        </w:tc>
        <w:tc>
          <w:tcPr>
            <w:tcW w:w="2556" w:type="dxa"/>
            <w:vAlign w:val="bottom"/>
          </w:tcPr>
          <w:p w14:paraId="57A0547C"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Планирование семьи</w:t>
            </w:r>
          </w:p>
        </w:tc>
      </w:tr>
      <w:tr w:rsidR="00314590" w:rsidRPr="009A01F2" w14:paraId="152590A1" w14:textId="77777777" w:rsidTr="009A01F2">
        <w:tc>
          <w:tcPr>
            <w:tcW w:w="1991" w:type="dxa"/>
          </w:tcPr>
          <w:p w14:paraId="7B518C67"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b/>
                <w:bCs/>
                <w:sz w:val="20"/>
                <w:szCs w:val="20"/>
                <w:lang w:val="ru"/>
              </w:rPr>
              <w:t>6</w:t>
            </w:r>
          </w:p>
        </w:tc>
        <w:tc>
          <w:tcPr>
            <w:tcW w:w="2879" w:type="dxa"/>
            <w:vAlign w:val="bottom"/>
          </w:tcPr>
          <w:p w14:paraId="02844C60"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Окситоцин для инъекций</w:t>
            </w:r>
          </w:p>
        </w:tc>
        <w:tc>
          <w:tcPr>
            <w:tcW w:w="2326" w:type="dxa"/>
            <w:vAlign w:val="bottom"/>
          </w:tcPr>
          <w:p w14:paraId="2872A338"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10 МЕ/мл</w:t>
            </w:r>
          </w:p>
        </w:tc>
        <w:tc>
          <w:tcPr>
            <w:tcW w:w="2556" w:type="dxa"/>
            <w:vAlign w:val="bottom"/>
          </w:tcPr>
          <w:p w14:paraId="50EC527E"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Экстренная акушерская помощь/здоровье матери и ребенка</w:t>
            </w:r>
          </w:p>
        </w:tc>
      </w:tr>
      <w:tr w:rsidR="00314590" w:rsidRPr="009A01F2" w14:paraId="3FA65EC0" w14:textId="77777777" w:rsidTr="009A01F2">
        <w:tc>
          <w:tcPr>
            <w:tcW w:w="1991" w:type="dxa"/>
          </w:tcPr>
          <w:p w14:paraId="5D2A36B2"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b/>
                <w:bCs/>
                <w:sz w:val="20"/>
                <w:szCs w:val="20"/>
                <w:lang w:val="ru"/>
              </w:rPr>
              <w:t>7</w:t>
            </w:r>
          </w:p>
        </w:tc>
        <w:tc>
          <w:tcPr>
            <w:tcW w:w="2879" w:type="dxa"/>
            <w:vAlign w:val="bottom"/>
          </w:tcPr>
          <w:p w14:paraId="37812C12"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Экспресс-тест</w:t>
            </w:r>
          </w:p>
        </w:tc>
        <w:tc>
          <w:tcPr>
            <w:tcW w:w="2326" w:type="dxa"/>
            <w:vAlign w:val="bottom"/>
          </w:tcPr>
          <w:p w14:paraId="71848D78"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Тест</w:t>
            </w:r>
          </w:p>
        </w:tc>
        <w:tc>
          <w:tcPr>
            <w:tcW w:w="2556" w:type="dxa"/>
            <w:vAlign w:val="bottom"/>
          </w:tcPr>
          <w:p w14:paraId="05343A1F"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Диагностический набор (ВИЧ)</w:t>
            </w:r>
          </w:p>
        </w:tc>
      </w:tr>
      <w:tr w:rsidR="00314590" w:rsidRPr="009A01F2" w14:paraId="38A22AD7" w14:textId="77777777" w:rsidTr="009A01F2">
        <w:tc>
          <w:tcPr>
            <w:tcW w:w="1991" w:type="dxa"/>
          </w:tcPr>
          <w:p w14:paraId="6C8DBB06"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b/>
                <w:bCs/>
                <w:sz w:val="20"/>
                <w:szCs w:val="20"/>
                <w:lang w:val="ru"/>
              </w:rPr>
              <w:t>8</w:t>
            </w:r>
          </w:p>
        </w:tc>
        <w:tc>
          <w:tcPr>
            <w:tcW w:w="2879" w:type="dxa"/>
            <w:vAlign w:val="bottom"/>
          </w:tcPr>
          <w:p w14:paraId="144CB5C4"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Сульфат магния 50 %</w:t>
            </w:r>
          </w:p>
        </w:tc>
        <w:tc>
          <w:tcPr>
            <w:tcW w:w="2326" w:type="dxa"/>
            <w:vAlign w:val="bottom"/>
          </w:tcPr>
          <w:p w14:paraId="5DE5D8EC"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Инъекции</w:t>
            </w:r>
          </w:p>
        </w:tc>
        <w:tc>
          <w:tcPr>
            <w:tcW w:w="2556" w:type="dxa"/>
            <w:vAlign w:val="bottom"/>
          </w:tcPr>
          <w:p w14:paraId="55BFC2D4"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Экстренная акушерская помощь</w:t>
            </w:r>
          </w:p>
        </w:tc>
      </w:tr>
      <w:tr w:rsidR="00314590" w:rsidRPr="009A01F2" w14:paraId="3566855F" w14:textId="77777777" w:rsidTr="009A01F2">
        <w:tc>
          <w:tcPr>
            <w:tcW w:w="1991" w:type="dxa"/>
          </w:tcPr>
          <w:p w14:paraId="40523C31"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b/>
                <w:bCs/>
                <w:sz w:val="20"/>
                <w:szCs w:val="20"/>
                <w:lang w:val="ru"/>
              </w:rPr>
              <w:t>9</w:t>
            </w:r>
          </w:p>
        </w:tc>
        <w:tc>
          <w:tcPr>
            <w:tcW w:w="2879" w:type="dxa"/>
            <w:vAlign w:val="bottom"/>
          </w:tcPr>
          <w:p w14:paraId="2DDC0595"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TDF + 3TC + EFV</w:t>
            </w:r>
          </w:p>
        </w:tc>
        <w:tc>
          <w:tcPr>
            <w:tcW w:w="2326" w:type="dxa"/>
            <w:vAlign w:val="bottom"/>
          </w:tcPr>
          <w:p w14:paraId="6CCF008A"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300 мг + 300 мг + 600 мг</w:t>
            </w:r>
          </w:p>
        </w:tc>
        <w:tc>
          <w:tcPr>
            <w:tcW w:w="2556" w:type="dxa"/>
            <w:vAlign w:val="bottom"/>
          </w:tcPr>
          <w:p w14:paraId="5C549F0C"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Антиретровирусный препарат</w:t>
            </w:r>
          </w:p>
        </w:tc>
      </w:tr>
      <w:tr w:rsidR="00314590" w:rsidRPr="009A01F2" w14:paraId="4C49120A" w14:textId="77777777" w:rsidTr="009A01F2">
        <w:tc>
          <w:tcPr>
            <w:tcW w:w="1991" w:type="dxa"/>
          </w:tcPr>
          <w:p w14:paraId="39176A93"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10</w:t>
            </w:r>
          </w:p>
        </w:tc>
        <w:tc>
          <w:tcPr>
            <w:tcW w:w="2879" w:type="dxa"/>
            <w:vAlign w:val="bottom"/>
          </w:tcPr>
          <w:p w14:paraId="526053CE"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Гентамицин 80 мг/2 мл</w:t>
            </w:r>
          </w:p>
        </w:tc>
        <w:tc>
          <w:tcPr>
            <w:tcW w:w="2326" w:type="dxa"/>
            <w:vAlign w:val="bottom"/>
          </w:tcPr>
          <w:p w14:paraId="547BEDD6"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Инъекции</w:t>
            </w:r>
          </w:p>
        </w:tc>
        <w:tc>
          <w:tcPr>
            <w:tcW w:w="2556" w:type="dxa"/>
            <w:vAlign w:val="bottom"/>
          </w:tcPr>
          <w:p w14:paraId="31600914" w14:textId="77777777" w:rsidR="00314590" w:rsidRPr="009A01F2" w:rsidRDefault="00314590" w:rsidP="009A01F2">
            <w:pPr>
              <w:spacing w:before="120" w:after="120" w:line="240" w:lineRule="auto"/>
              <w:rPr>
                <w:rFonts w:ascii="Arial" w:hAnsi="Arial" w:cs="Arial"/>
                <w:b/>
                <w:sz w:val="20"/>
                <w:szCs w:val="20"/>
              </w:rPr>
            </w:pPr>
            <w:r w:rsidRPr="009A01F2">
              <w:rPr>
                <w:rFonts w:ascii="Arial" w:hAnsi="Arial" w:cs="Arial"/>
                <w:sz w:val="20"/>
                <w:szCs w:val="20"/>
                <w:lang w:val="ru"/>
              </w:rPr>
              <w:t>Основное лекарственное средство</w:t>
            </w:r>
          </w:p>
        </w:tc>
      </w:tr>
      <w:tr w:rsidR="00314590" w:rsidRPr="009A01F2" w14:paraId="78329436" w14:textId="77777777" w:rsidTr="009A01F2">
        <w:tc>
          <w:tcPr>
            <w:tcW w:w="1991" w:type="dxa"/>
          </w:tcPr>
          <w:p w14:paraId="2A45F84E" w14:textId="77777777" w:rsidR="00314590" w:rsidRPr="009A01F2" w:rsidRDefault="00314590" w:rsidP="009A01F2">
            <w:pPr>
              <w:spacing w:before="120" w:after="120" w:line="240" w:lineRule="auto"/>
              <w:rPr>
                <w:rFonts w:ascii="Arial" w:hAnsi="Arial" w:cs="Arial"/>
                <w:sz w:val="20"/>
                <w:szCs w:val="20"/>
              </w:rPr>
            </w:pPr>
            <w:r w:rsidRPr="009A01F2">
              <w:rPr>
                <w:rFonts w:ascii="Arial" w:hAnsi="Arial" w:cs="Arial"/>
                <w:sz w:val="20"/>
                <w:szCs w:val="20"/>
                <w:lang w:val="ru"/>
              </w:rPr>
              <w:t>11</w:t>
            </w:r>
          </w:p>
        </w:tc>
        <w:tc>
          <w:tcPr>
            <w:tcW w:w="2879" w:type="dxa"/>
            <w:vAlign w:val="bottom"/>
          </w:tcPr>
          <w:p w14:paraId="595386AD" w14:textId="77777777" w:rsidR="00314590" w:rsidRPr="009A01F2" w:rsidRDefault="00314590" w:rsidP="009A01F2">
            <w:pPr>
              <w:spacing w:before="120" w:after="120" w:line="240" w:lineRule="auto"/>
              <w:rPr>
                <w:rFonts w:ascii="Arial" w:hAnsi="Arial" w:cs="Arial"/>
                <w:sz w:val="20"/>
                <w:szCs w:val="20"/>
              </w:rPr>
            </w:pPr>
            <w:r w:rsidRPr="009A01F2">
              <w:rPr>
                <w:rFonts w:ascii="Arial" w:hAnsi="Arial" w:cs="Arial"/>
                <w:sz w:val="20"/>
                <w:szCs w:val="20"/>
                <w:lang w:val="ru"/>
              </w:rPr>
              <w:t>Раствор для пероральной регидратации</w:t>
            </w:r>
          </w:p>
        </w:tc>
        <w:tc>
          <w:tcPr>
            <w:tcW w:w="2326" w:type="dxa"/>
            <w:vAlign w:val="bottom"/>
          </w:tcPr>
          <w:p w14:paraId="7462797B" w14:textId="77777777" w:rsidR="00314590" w:rsidRPr="009A01F2" w:rsidRDefault="00314590" w:rsidP="009A01F2">
            <w:pPr>
              <w:spacing w:before="120" w:after="120" w:line="240" w:lineRule="auto"/>
              <w:rPr>
                <w:rFonts w:ascii="Arial" w:hAnsi="Arial" w:cs="Arial"/>
                <w:sz w:val="20"/>
                <w:szCs w:val="20"/>
              </w:rPr>
            </w:pPr>
            <w:r w:rsidRPr="009A01F2">
              <w:rPr>
                <w:rFonts w:ascii="Arial" w:hAnsi="Arial" w:cs="Arial"/>
                <w:sz w:val="20"/>
                <w:szCs w:val="20"/>
                <w:lang w:val="ru"/>
              </w:rPr>
              <w:t>Саше</w:t>
            </w:r>
          </w:p>
        </w:tc>
        <w:tc>
          <w:tcPr>
            <w:tcW w:w="2556" w:type="dxa"/>
            <w:vAlign w:val="bottom"/>
          </w:tcPr>
          <w:p w14:paraId="00DB4D56" w14:textId="77777777" w:rsidR="00314590" w:rsidRPr="009A01F2" w:rsidRDefault="00314590" w:rsidP="009A01F2">
            <w:pPr>
              <w:spacing w:before="120" w:after="120" w:line="240" w:lineRule="auto"/>
              <w:rPr>
                <w:rFonts w:ascii="Arial" w:hAnsi="Arial" w:cs="Arial"/>
                <w:sz w:val="20"/>
                <w:szCs w:val="20"/>
              </w:rPr>
            </w:pPr>
            <w:r w:rsidRPr="009A01F2">
              <w:rPr>
                <w:rFonts w:ascii="Arial" w:hAnsi="Arial" w:cs="Arial"/>
                <w:sz w:val="20"/>
                <w:szCs w:val="20"/>
                <w:lang w:val="ru"/>
              </w:rPr>
              <w:t xml:space="preserve"> Основное лекарственное средство</w:t>
            </w:r>
          </w:p>
        </w:tc>
      </w:tr>
    </w:tbl>
    <w:p w14:paraId="476CCFC2" w14:textId="77777777" w:rsidR="00314590" w:rsidRPr="009A01F2" w:rsidRDefault="00314590" w:rsidP="00F3037B">
      <w:pPr>
        <w:spacing w:after="240" w:line="240" w:lineRule="auto"/>
        <w:ind w:right="-421"/>
        <w:contextualSpacing/>
        <w:rPr>
          <w:rFonts w:ascii="Arial" w:hAnsi="Arial" w:cs="Arial"/>
          <w:sz w:val="18"/>
          <w:szCs w:val="18"/>
          <w:lang w:val="ru"/>
        </w:rPr>
      </w:pPr>
      <w:r w:rsidRPr="009A01F2">
        <w:rPr>
          <w:rFonts w:ascii="Arial" w:hAnsi="Arial" w:cs="Arial"/>
          <w:sz w:val="18"/>
          <w:szCs w:val="18"/>
          <w:lang w:val="ru"/>
        </w:rPr>
        <w:t>*Примечание. Экспресс-тесты, как правило, выполняются в медицинских центрах, других учреждениях здравоохранения, а теперь также и в домашних условиях. Лабораторное диагностическое оборудование может быть включено в перечень только в том случае, если медицинские лаборатории являются частью NSCA 2.0., при этом руководитель (руководители) лаборатории (лабораторий) должны разработать отдельный соответствующий перечень товаров-маркеров.</w:t>
      </w:r>
    </w:p>
    <w:p w14:paraId="346B1953" w14:textId="77777777" w:rsidR="00314590" w:rsidRPr="009A01F2" w:rsidRDefault="00314590" w:rsidP="00F3037B">
      <w:pPr>
        <w:spacing w:after="240" w:line="240" w:lineRule="auto"/>
        <w:ind w:right="-421"/>
        <w:contextualSpacing/>
        <w:rPr>
          <w:rFonts w:ascii="Arial" w:hAnsi="Arial" w:cs="Arial"/>
          <w:sz w:val="18"/>
          <w:szCs w:val="18"/>
          <w:lang w:val="ru"/>
        </w:rPr>
      </w:pPr>
      <w:r w:rsidRPr="009A01F2">
        <w:rPr>
          <w:rFonts w:ascii="Arial" w:eastAsia="Cabin" w:hAnsi="Arial" w:cs="Arial"/>
          <w:sz w:val="18"/>
          <w:szCs w:val="18"/>
          <w:lang w:val="ru"/>
        </w:rPr>
        <w:t>**Примечание. Хотя в качестве товара-маркера следует выбрать одну основанную на весе дозировку АКТ, предпочтительно АЛ 6х1, оценочная группа должна также рассмотреть возможность сбора данных по запасам для всех четырех весовых дозировок (АЛ 6x1, 6x2, 6x3, 6x4), чтобы установить дефицит всех АЛ (т. е. неспособность лечить малярию).</w:t>
      </w:r>
    </w:p>
    <w:p w14:paraId="6DC71D26" w14:textId="1DBF294F" w:rsidR="00314590" w:rsidRPr="009A01F2" w:rsidRDefault="00314590" w:rsidP="009A01F2">
      <w:pPr>
        <w:spacing w:line="240" w:lineRule="auto"/>
        <w:rPr>
          <w:rFonts w:ascii="Arial" w:hAnsi="Arial" w:cs="Arial"/>
          <w:lang w:val="ru"/>
        </w:rPr>
      </w:pPr>
    </w:p>
    <w:p w14:paraId="49A0867A" w14:textId="2E53DACD" w:rsidR="00314590" w:rsidRPr="009A01F2" w:rsidRDefault="00314590" w:rsidP="009A01F2">
      <w:pPr>
        <w:spacing w:line="240" w:lineRule="auto"/>
        <w:rPr>
          <w:rFonts w:ascii="Arial" w:hAnsi="Arial" w:cs="Arial"/>
          <w:lang w:val="ru"/>
        </w:rPr>
      </w:pPr>
    </w:p>
    <w:p w14:paraId="61FDB433" w14:textId="5CF6FE8A" w:rsidR="00314590" w:rsidRPr="009A01F2" w:rsidRDefault="00314590" w:rsidP="009A01F2">
      <w:pPr>
        <w:spacing w:line="240" w:lineRule="auto"/>
        <w:rPr>
          <w:rFonts w:ascii="Arial" w:hAnsi="Arial" w:cs="Arial"/>
          <w:lang w:val="ru"/>
        </w:rPr>
      </w:pPr>
    </w:p>
    <w:p w14:paraId="0A8FD133" w14:textId="77777777" w:rsidR="00314590" w:rsidRPr="009A01F2" w:rsidRDefault="00314590" w:rsidP="009A01F2">
      <w:pPr>
        <w:spacing w:line="240" w:lineRule="auto"/>
        <w:rPr>
          <w:rFonts w:ascii="Arial" w:hAnsi="Arial" w:cs="Arial"/>
        </w:rPr>
      </w:pPr>
    </w:p>
    <w:sectPr w:rsidR="00314590" w:rsidRPr="009A01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bin">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590"/>
    <w:rsid w:val="00314590"/>
    <w:rsid w:val="005B6F90"/>
    <w:rsid w:val="009A01F2"/>
    <w:rsid w:val="00F3037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F6711"/>
  <w15:chartTrackingRefBased/>
  <w15:docId w15:val="{1B0DCCE4-876D-41FA-83BC-6D6571C05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2"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314590"/>
    <w:pPr>
      <w:spacing w:after="0" w:line="280" w:lineRule="atLeast"/>
    </w:pPr>
    <w:rPr>
      <w:rFonts w:ascii="Gill Sans MT" w:hAnsi="Gill Sans MT" w:cs="GillSansMTStd-Book"/>
      <w:color w:val="595959" w:themeColor="text1" w:themeTint="A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4590"/>
    <w:pPr>
      <w:widowControl w:val="0"/>
      <w:spacing w:after="0" w:line="240" w:lineRule="auto"/>
    </w:pPr>
    <w:rPr>
      <w:rFonts w:ascii="Calibri" w:eastAsia="Calibri" w:hAnsi="Calibri" w:cs="Calibr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4590"/>
    <w:rPr>
      <w:sz w:val="16"/>
      <w:szCs w:val="16"/>
    </w:rPr>
  </w:style>
  <w:style w:type="paragraph" w:styleId="CommentText">
    <w:name w:val="annotation text"/>
    <w:basedOn w:val="Normal"/>
    <w:link w:val="CommentTextChar"/>
    <w:uiPriority w:val="99"/>
    <w:unhideWhenUsed/>
    <w:rsid w:val="00314590"/>
    <w:pPr>
      <w:spacing w:line="240" w:lineRule="auto"/>
    </w:pPr>
    <w:rPr>
      <w:sz w:val="20"/>
      <w:szCs w:val="20"/>
    </w:rPr>
  </w:style>
  <w:style w:type="character" w:customStyle="1" w:styleId="CommentTextChar">
    <w:name w:val="Comment Text Char"/>
    <w:basedOn w:val="DefaultParagraphFont"/>
    <w:link w:val="CommentText"/>
    <w:uiPriority w:val="99"/>
    <w:rsid w:val="00314590"/>
    <w:rPr>
      <w:rFonts w:ascii="Gill Sans MT" w:hAnsi="Gill Sans MT" w:cs="GillSansMTStd-Book"/>
      <w:color w:val="595959" w:themeColor="text1" w:themeTint="A6"/>
      <w:sz w:val="20"/>
      <w:szCs w:val="20"/>
    </w:rPr>
  </w:style>
  <w:style w:type="paragraph" w:styleId="BalloonText">
    <w:name w:val="Balloon Text"/>
    <w:basedOn w:val="Normal"/>
    <w:link w:val="BalloonTextChar"/>
    <w:uiPriority w:val="99"/>
    <w:semiHidden/>
    <w:unhideWhenUsed/>
    <w:rsid w:val="0031459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590"/>
    <w:rPr>
      <w:rFonts w:ascii="Segoe UI" w:hAnsi="Segoe UI" w:cs="Segoe UI"/>
      <w:color w:val="595959" w:themeColor="text1" w:themeTint="A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22e118f-d533-465d-b5ca-7beed2256e09" ContentTypeId="0x0101008DA58B5CA681664FAB24816C56F4108502" PreviousValue="false"/>
</file>

<file path=customXml/itemProps1.xml><?xml version="1.0" encoding="utf-8"?>
<ds:datastoreItem xmlns:ds="http://schemas.openxmlformats.org/officeDocument/2006/customXml" ds:itemID="{5624A65A-E523-40CC-B55C-13A4EBD12EBE}"/>
</file>

<file path=customXml/itemProps2.xml><?xml version="1.0" encoding="utf-8"?>
<ds:datastoreItem xmlns:ds="http://schemas.openxmlformats.org/officeDocument/2006/customXml" ds:itemID="{237BCD0F-3DA0-4778-ADE0-A2CB88A71EF3}">
  <ds:schemaRefs>
    <ds:schemaRef ds:uri="http://schemas.microsoft.com/office/2006/metadata/properties"/>
    <ds:schemaRef ds:uri="http://schemas.microsoft.com/office/infopath/2007/PartnerControls"/>
    <ds:schemaRef ds:uri="8d7096d6-fc66-4344-9e3f-2445529a09f6"/>
  </ds:schemaRefs>
</ds:datastoreItem>
</file>

<file path=customXml/itemProps3.xml><?xml version="1.0" encoding="utf-8"?>
<ds:datastoreItem xmlns:ds="http://schemas.openxmlformats.org/officeDocument/2006/customXml" ds:itemID="{38DA53C0-4934-4AC9-920C-DEB229BDFFD6}">
  <ds:schemaRefs>
    <ds:schemaRef ds:uri="http://schemas.microsoft.com/sharepoint/v3/contenttype/forms"/>
  </ds:schemaRefs>
</ds:datastoreItem>
</file>

<file path=customXml/itemProps4.xml><?xml version="1.0" encoding="utf-8"?>
<ds:datastoreItem xmlns:ds="http://schemas.openxmlformats.org/officeDocument/2006/customXml" ds:itemID="{6A43897C-79D4-4AAB-88B7-23820D6F48B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1418</Characters>
  <Application>Microsoft Office Word</Application>
  <DocSecurity>0</DocSecurity>
  <Lines>101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Earp</dc:creator>
  <cp:keywords/>
  <dc:description/>
  <cp:lastModifiedBy>Pakhapat Boonchusanong</cp:lastModifiedBy>
  <cp:revision>4</cp:revision>
  <dcterms:created xsi:type="dcterms:W3CDTF">2018-04-06T17:32:00Z</dcterms:created>
  <dcterms:modified xsi:type="dcterms:W3CDTF">2022-08-08T08:15:00Z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0x0101008DA58B5CA681664FAB24816C56F410850200C1ADE8129BED5243B21152D92CDBFE90</vt:lpwstr>
  </property>
  <property fmtid="{D5CDD505-2E9C-101B-9397-08002B2CF9AE}" pid="3" name="Project Document Type">
    <vt:lpwstr/>
  </property>
</Properties>
</file>